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附件</w:t>
      </w:r>
      <w:r>
        <w:rPr>
          <w:rFonts w:hint="eastAsia" w:ascii="仿宋_GB2312" w:hAnsi="仿宋_GB2312" w:eastAsia="仿宋_GB2312" w:cs="仿宋_GB2312"/>
          <w:sz w:val="32"/>
          <w:szCs w:val="32"/>
          <w:lang w:val="en-US" w:eastAsia="zh-CN"/>
        </w:rPr>
        <w:t>1</w:t>
      </w:r>
    </w:p>
    <w:p>
      <w:pPr>
        <w:jc w:val="both"/>
        <w:rPr>
          <w:rFonts w:hint="eastAsia" w:ascii="方正小标宋简体" w:eastAsia="方正小标宋简体"/>
          <w:sz w:val="44"/>
          <w:szCs w:val="44"/>
        </w:rPr>
      </w:pPr>
    </w:p>
    <w:p>
      <w:pPr>
        <w:ind w:left="420"/>
        <w:jc w:val="center"/>
        <w:rPr>
          <w:rFonts w:hint="eastAsia" w:ascii="方正小标宋简体" w:eastAsia="方正小标宋简体"/>
          <w:sz w:val="44"/>
          <w:szCs w:val="44"/>
        </w:rPr>
      </w:pPr>
    </w:p>
    <w:p>
      <w:pPr>
        <w:jc w:val="both"/>
        <w:rPr>
          <w:rFonts w:hint="eastAsia" w:ascii="方正小标宋简体" w:hAnsi="方正小标宋简体" w:eastAsia="方正小标宋简体" w:cs="方正小标宋简体"/>
          <w:sz w:val="84"/>
          <w:szCs w:val="84"/>
          <w:lang w:val="en-US" w:eastAsia="zh-CN"/>
        </w:rPr>
      </w:pPr>
    </w:p>
    <w:p>
      <w:pPr>
        <w:jc w:val="center"/>
        <w:rPr>
          <w:rFonts w:hint="eastAsia" w:ascii="方正小标宋简体" w:hAnsi="方正小标宋简体" w:eastAsia="方正小标宋简体" w:cs="方正小标宋简体"/>
          <w:sz w:val="84"/>
          <w:szCs w:val="84"/>
          <w:lang w:val="en-US" w:eastAsia="zh-CN"/>
        </w:rPr>
      </w:pPr>
      <w:r>
        <w:rPr>
          <w:rFonts w:hint="eastAsia" w:ascii="方正小标宋简体" w:hAnsi="方正小标宋简体" w:eastAsia="方正小标宋简体" w:cs="方正小标宋简体"/>
          <w:sz w:val="84"/>
          <w:szCs w:val="84"/>
          <w:lang w:val="en-US" w:eastAsia="zh-CN"/>
        </w:rPr>
        <w:t>2018年</w:t>
      </w:r>
    </w:p>
    <w:p>
      <w:pPr>
        <w:jc w:val="center"/>
        <w:rPr>
          <w:rFonts w:hint="eastAsia" w:ascii="方正小标宋简体" w:hAnsi="方正小标宋简体" w:eastAsia="方正小标宋简体" w:cs="方正小标宋简体"/>
          <w:sz w:val="84"/>
          <w:szCs w:val="84"/>
          <w:lang w:val="en-US" w:eastAsia="zh-CN"/>
        </w:rPr>
      </w:pPr>
      <w:r>
        <w:rPr>
          <w:rFonts w:hint="eastAsia" w:ascii="方正小标宋简体" w:hAnsi="方正小标宋简体" w:eastAsia="方正小标宋简体" w:cs="方正小标宋简体"/>
          <w:sz w:val="84"/>
          <w:szCs w:val="84"/>
          <w:lang w:val="en-US" w:eastAsia="zh-CN"/>
        </w:rPr>
        <w:t>中山火炬开发区理工学校部门预算</w:t>
      </w:r>
    </w:p>
    <w:p>
      <w:pPr>
        <w:jc w:val="center"/>
        <w:rPr>
          <w:rFonts w:hint="eastAsia" w:ascii="方正小标宋简体" w:hAnsi="方正小标宋简体" w:eastAsia="方正小标宋简体" w:cs="方正小标宋简体"/>
          <w:sz w:val="84"/>
          <w:szCs w:val="84"/>
          <w:lang w:val="en-US" w:eastAsia="zh-CN"/>
        </w:rPr>
      </w:pPr>
    </w:p>
    <w:p>
      <w:pPr>
        <w:jc w:val="center"/>
        <w:rPr>
          <w:rFonts w:hint="eastAsia" w:ascii="方正小标宋简体" w:hAnsi="方正小标宋简体" w:eastAsia="方正小标宋简体" w:cs="方正小标宋简体"/>
          <w:sz w:val="84"/>
          <w:szCs w:val="84"/>
          <w:lang w:val="en-US" w:eastAsia="zh-CN"/>
        </w:rPr>
      </w:pPr>
    </w:p>
    <w:p>
      <w:pPr>
        <w:jc w:val="center"/>
        <w:rPr>
          <w:rFonts w:hint="eastAsia" w:ascii="黑体" w:hAnsi="黑体" w:eastAsia="黑体" w:cs="黑体"/>
          <w:sz w:val="44"/>
          <w:szCs w:val="44"/>
          <w:lang w:val="en-US" w:eastAsia="zh-CN"/>
        </w:rPr>
      </w:pPr>
      <w:r>
        <w:rPr>
          <w:rFonts w:hint="eastAsia" w:ascii="方正小标宋简体" w:hAnsi="方正小标宋简体" w:eastAsia="方正小标宋简体" w:cs="方正小标宋简体"/>
          <w:sz w:val="84"/>
          <w:szCs w:val="84"/>
          <w:lang w:val="en-US" w:eastAsia="zh-CN"/>
        </w:rPr>
        <w:br w:type="page"/>
      </w: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目 录</w:t>
      </w:r>
    </w:p>
    <w:p>
      <w:pPr>
        <w:jc w:val="center"/>
        <w:rPr>
          <w:rFonts w:hint="eastAsia" w:ascii="黑体" w:hAnsi="黑体" w:eastAsia="黑体" w:cs="黑体"/>
          <w:sz w:val="44"/>
          <w:szCs w:val="44"/>
          <w:lang w:val="en-US" w:eastAsia="zh-CN"/>
        </w:rPr>
      </w:pPr>
    </w:p>
    <w:p>
      <w:pPr>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第一部分  2018中山火炬开发区理工学校概况</w:t>
      </w:r>
    </w:p>
    <w:p>
      <w:pPr>
        <w:numPr>
          <w:ilvl w:val="0"/>
          <w:numId w:val="1"/>
        </w:num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主要职责</w:t>
      </w:r>
    </w:p>
    <w:p>
      <w:pPr>
        <w:numPr>
          <w:ilvl w:val="0"/>
          <w:numId w:val="1"/>
        </w:num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机构设置</w:t>
      </w:r>
    </w:p>
    <w:p>
      <w:pPr>
        <w:ind w:firstLine="640" w:firstLineChars="200"/>
        <w:jc w:val="both"/>
        <w:rPr>
          <w:rFonts w:hint="eastAsia" w:ascii="黑体" w:hAnsi="黑体" w:eastAsia="黑体" w:cs="黑体"/>
          <w:sz w:val="32"/>
          <w:szCs w:val="32"/>
          <w:lang w:val="en-US" w:eastAsia="zh-CN"/>
        </w:rPr>
      </w:pPr>
      <w:bookmarkStart w:id="0" w:name="OLE_LINK1"/>
      <w:r>
        <w:rPr>
          <w:rFonts w:hint="eastAsia" w:ascii="黑体" w:hAnsi="黑体" w:eastAsia="黑体" w:cs="黑体"/>
          <w:sz w:val="32"/>
          <w:szCs w:val="32"/>
          <w:lang w:val="en-US" w:eastAsia="zh-CN"/>
        </w:rPr>
        <w:t>第二部分  2018年部门预算表</w:t>
      </w:r>
      <w:bookmarkEnd w:id="0"/>
    </w:p>
    <w:p>
      <w:pPr>
        <w:numPr>
          <w:ilvl w:val="0"/>
          <w:numId w:val="2"/>
        </w:numPr>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收支总体情况表</w:t>
      </w:r>
    </w:p>
    <w:p>
      <w:pPr>
        <w:numPr>
          <w:ilvl w:val="0"/>
          <w:numId w:val="2"/>
        </w:numPr>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收入总体情况表</w:t>
      </w:r>
    </w:p>
    <w:p>
      <w:pPr>
        <w:numPr>
          <w:ilvl w:val="0"/>
          <w:numId w:val="2"/>
        </w:numPr>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支出总体情况表</w:t>
      </w:r>
    </w:p>
    <w:p>
      <w:pPr>
        <w:numPr>
          <w:ilvl w:val="0"/>
          <w:numId w:val="2"/>
        </w:numPr>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财政拨款收支总体情况表</w:t>
      </w:r>
    </w:p>
    <w:p>
      <w:pPr>
        <w:numPr>
          <w:ilvl w:val="0"/>
          <w:numId w:val="2"/>
        </w:numPr>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一般公共预算支出情况表（按功能分类科目）</w:t>
      </w:r>
    </w:p>
    <w:p>
      <w:pPr>
        <w:numPr>
          <w:ilvl w:val="0"/>
          <w:numId w:val="2"/>
        </w:numPr>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一般公共预算基本支出情况表（按支出经济分类科目）</w:t>
      </w:r>
    </w:p>
    <w:p>
      <w:pPr>
        <w:numPr>
          <w:ilvl w:val="0"/>
          <w:numId w:val="2"/>
        </w:numPr>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一般公共预算项目支出情况表（按支出经济分类科目）</w:t>
      </w:r>
    </w:p>
    <w:p>
      <w:pPr>
        <w:numPr>
          <w:ilvl w:val="0"/>
          <w:numId w:val="2"/>
        </w:numPr>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一般公共预算安排的行政经费及“三公”经费预算表</w:t>
      </w:r>
    </w:p>
    <w:p>
      <w:pPr>
        <w:numPr>
          <w:ilvl w:val="0"/>
          <w:numId w:val="2"/>
        </w:numPr>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政府性基金预算支出情况表</w:t>
      </w:r>
    </w:p>
    <w:p>
      <w:pPr>
        <w:numPr>
          <w:ilvl w:val="0"/>
          <w:numId w:val="2"/>
        </w:numPr>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部门预算基本支出预算表</w:t>
      </w:r>
    </w:p>
    <w:p>
      <w:pPr>
        <w:numPr>
          <w:ilvl w:val="0"/>
          <w:numId w:val="2"/>
        </w:numPr>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部门预算项目支出及其他支出预算表</w:t>
      </w:r>
    </w:p>
    <w:p>
      <w:pPr>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第三部分  2018年部门预算情况说明</w:t>
      </w:r>
    </w:p>
    <w:p>
      <w:pPr>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第四部分  名词解释</w:t>
      </w: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第一部分  中山火炬开发区理工学校概况</w:t>
      </w:r>
    </w:p>
    <w:p>
      <w:pPr>
        <w:jc w:val="both"/>
        <w:rPr>
          <w:rFonts w:hint="eastAsia" w:ascii="黑体" w:hAnsi="黑体" w:eastAsia="黑体" w:cs="黑体"/>
          <w:sz w:val="44"/>
          <w:szCs w:val="44"/>
          <w:lang w:val="en-US" w:eastAsia="zh-CN"/>
        </w:rPr>
      </w:pPr>
    </w:p>
    <w:p>
      <w:pPr>
        <w:numPr>
          <w:ilvl w:val="0"/>
          <w:numId w:val="3"/>
        </w:numPr>
        <w:ind w:firstLine="64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主要职责</w:t>
      </w:r>
    </w:p>
    <w:p>
      <w:pPr>
        <w:widowControl/>
        <w:spacing w:before="100" w:beforeAutospacing="1" w:after="100" w:afterAutospacing="1" w:line="420" w:lineRule="atLeast"/>
        <w:ind w:firstLine="360"/>
        <w:jc w:val="left"/>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中山火炬开发区理工学校的主要职责是：</w:t>
      </w:r>
    </w:p>
    <w:p>
      <w:pPr>
        <w:widowControl/>
        <w:spacing w:before="100" w:beforeAutospacing="1" w:after="100" w:afterAutospacing="1" w:line="420" w:lineRule="atLeast"/>
        <w:ind w:firstLine="360"/>
        <w:jc w:val="left"/>
        <w:rPr>
          <w:rFonts w:hint="eastAsia" w:ascii="宋体" w:hAnsi="宋体" w:cs="宋体"/>
          <w:color w:val="000000"/>
          <w:kern w:val="0"/>
          <w:sz w:val="20"/>
          <w:szCs w:val="20"/>
        </w:rPr>
      </w:pPr>
      <w:r>
        <w:rPr>
          <w:rFonts w:hint="eastAsia" w:ascii="仿宋_GB2312" w:hAnsi="宋体" w:eastAsia="仿宋_GB2312" w:cs="宋体"/>
          <w:color w:val="000000"/>
          <w:kern w:val="0"/>
          <w:sz w:val="32"/>
          <w:szCs w:val="32"/>
        </w:rPr>
        <w:t>（一）为社会提供优质的职业教育，促进中山东部地区的经济发展。</w:t>
      </w:r>
    </w:p>
    <w:p>
      <w:pPr>
        <w:widowControl/>
        <w:spacing w:before="100" w:beforeAutospacing="1" w:after="100" w:afterAutospacing="1" w:line="420" w:lineRule="atLeast"/>
        <w:ind w:firstLine="360"/>
        <w:jc w:val="left"/>
        <w:rPr>
          <w:rFonts w:hint="eastAsia" w:ascii="宋体" w:hAnsi="宋体" w:cs="宋体"/>
          <w:color w:val="000000"/>
          <w:kern w:val="0"/>
          <w:sz w:val="20"/>
          <w:szCs w:val="20"/>
        </w:rPr>
      </w:pPr>
      <w:r>
        <w:rPr>
          <w:rFonts w:hint="eastAsia" w:ascii="仿宋_GB2312" w:hAnsi="宋体" w:eastAsia="仿宋_GB2312" w:cs="宋体"/>
          <w:color w:val="000000"/>
          <w:kern w:val="0"/>
          <w:sz w:val="32"/>
          <w:szCs w:val="32"/>
        </w:rPr>
        <w:t>（二）提高公民的知识技能和就业能力，为家庭致富提供技术上的支持。</w:t>
      </w:r>
    </w:p>
    <w:p>
      <w:pPr>
        <w:widowControl/>
        <w:spacing w:before="100" w:beforeAutospacing="1" w:after="100" w:afterAutospacing="1" w:line="420" w:lineRule="atLeast"/>
        <w:ind w:firstLine="360"/>
        <w:jc w:val="left"/>
        <w:rPr>
          <w:rFonts w:hint="eastAsia" w:ascii="宋体" w:hAnsi="宋体" w:cs="宋体"/>
          <w:color w:val="000000"/>
          <w:kern w:val="0"/>
          <w:sz w:val="20"/>
          <w:szCs w:val="20"/>
        </w:rPr>
      </w:pPr>
      <w:r>
        <w:rPr>
          <w:rFonts w:hint="eastAsia" w:ascii="仿宋_GB2312" w:hAnsi="宋体" w:eastAsia="仿宋_GB2312" w:cs="宋体"/>
          <w:color w:val="000000"/>
          <w:kern w:val="0"/>
          <w:sz w:val="32"/>
          <w:szCs w:val="32"/>
        </w:rPr>
        <w:t>（三）对符合条件的农村户籍学生免收学杂费，对贫困家庭学生提供免费课本和勤工助学机会。</w:t>
      </w:r>
    </w:p>
    <w:p>
      <w:pPr>
        <w:numPr>
          <w:ilvl w:val="0"/>
          <w:numId w:val="0"/>
        </w:numPr>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    二、机构设置</w:t>
      </w:r>
    </w:p>
    <w:p>
      <w:pPr>
        <w:numPr>
          <w:ilvl w:val="0"/>
          <w:numId w:val="4"/>
        </w:numPr>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本部门无下属单位，部门预算为本级预算。</w:t>
      </w:r>
    </w:p>
    <w:p>
      <w:pPr>
        <w:numPr>
          <w:ilvl w:val="0"/>
          <w:numId w:val="4"/>
        </w:numPr>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人员构成情况</w:t>
      </w:r>
    </w:p>
    <w:p>
      <w:pPr>
        <w:widowControl/>
        <w:spacing w:before="100" w:beforeAutospacing="1" w:after="100" w:afterAutospacing="1" w:line="420" w:lineRule="atLeast"/>
        <w:ind w:firstLine="645"/>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我校编制数</w:t>
      </w:r>
      <w:r>
        <w:rPr>
          <w:rFonts w:hint="eastAsia" w:ascii="宋体" w:hAnsi="宋体" w:cs="宋体"/>
          <w:color w:val="000000"/>
          <w:kern w:val="0"/>
          <w:sz w:val="32"/>
          <w:szCs w:val="32"/>
        </w:rPr>
        <w:t>159</w:t>
      </w:r>
      <w:r>
        <w:rPr>
          <w:rFonts w:hint="eastAsia" w:ascii="仿宋_GB2312" w:hAnsi="宋体" w:eastAsia="仿宋_GB2312" w:cs="宋体"/>
          <w:color w:val="000000"/>
          <w:kern w:val="0"/>
          <w:sz w:val="32"/>
          <w:szCs w:val="32"/>
        </w:rPr>
        <w:t>名，其中事业编制</w:t>
      </w:r>
      <w:r>
        <w:rPr>
          <w:rFonts w:hint="eastAsia" w:ascii="宋体" w:hAnsi="宋体" w:cs="宋体"/>
          <w:color w:val="000000"/>
          <w:kern w:val="0"/>
          <w:sz w:val="32"/>
          <w:szCs w:val="32"/>
        </w:rPr>
        <w:t>159</w:t>
      </w:r>
      <w:r>
        <w:rPr>
          <w:rFonts w:hint="eastAsia" w:ascii="仿宋_GB2312" w:hAnsi="宋体" w:eastAsia="仿宋_GB2312" w:cs="宋体"/>
          <w:color w:val="000000"/>
          <w:kern w:val="0"/>
          <w:sz w:val="32"/>
          <w:szCs w:val="32"/>
        </w:rPr>
        <w:t>名（2017年10月10日提交预算时填报的教职员编制人数为160人，2017年11月份获悉中山编办[2017]122号文件教职员编制人数减为159名）。在职人员</w:t>
      </w:r>
      <w:r>
        <w:rPr>
          <w:rFonts w:hint="eastAsia" w:ascii="宋体" w:hAnsi="宋体" w:cs="宋体"/>
          <w:color w:val="000000"/>
          <w:kern w:val="0"/>
          <w:sz w:val="32"/>
          <w:szCs w:val="32"/>
        </w:rPr>
        <w:t>1</w:t>
      </w:r>
      <w:r>
        <w:rPr>
          <w:rFonts w:hint="eastAsia" w:ascii="宋体" w:hAnsi="宋体" w:cs="宋体"/>
          <w:color w:val="000000"/>
          <w:kern w:val="0"/>
          <w:sz w:val="32"/>
          <w:szCs w:val="32"/>
          <w:lang w:val="en-US" w:eastAsia="zh-CN"/>
        </w:rPr>
        <w:t>2</w:t>
      </w:r>
      <w:r>
        <w:rPr>
          <w:rFonts w:hint="eastAsia" w:ascii="宋体" w:hAnsi="宋体" w:cs="宋体"/>
          <w:color w:val="000000"/>
          <w:kern w:val="0"/>
          <w:sz w:val="32"/>
          <w:szCs w:val="32"/>
        </w:rPr>
        <w:t>3</w:t>
      </w:r>
      <w:r>
        <w:rPr>
          <w:rFonts w:hint="eastAsia" w:ascii="仿宋_GB2312" w:hAnsi="宋体" w:eastAsia="仿宋_GB2312" w:cs="宋体"/>
          <w:color w:val="000000"/>
          <w:kern w:val="0"/>
          <w:sz w:val="32"/>
          <w:szCs w:val="32"/>
        </w:rPr>
        <w:t>名，其中事业编制</w:t>
      </w:r>
      <w:r>
        <w:rPr>
          <w:rFonts w:hint="eastAsia" w:ascii="宋体" w:hAnsi="宋体" w:cs="宋体"/>
          <w:color w:val="000000"/>
          <w:kern w:val="0"/>
          <w:sz w:val="32"/>
          <w:szCs w:val="32"/>
        </w:rPr>
        <w:t>1</w:t>
      </w:r>
      <w:r>
        <w:rPr>
          <w:rFonts w:hint="eastAsia" w:ascii="宋体" w:hAnsi="宋体" w:cs="宋体"/>
          <w:color w:val="000000"/>
          <w:kern w:val="0"/>
          <w:sz w:val="32"/>
          <w:szCs w:val="32"/>
          <w:lang w:val="en-US" w:eastAsia="zh-CN"/>
        </w:rPr>
        <w:t>2</w:t>
      </w:r>
      <w:r>
        <w:rPr>
          <w:rFonts w:hint="eastAsia" w:ascii="宋体" w:hAnsi="宋体" w:cs="宋体"/>
          <w:color w:val="000000"/>
          <w:kern w:val="0"/>
          <w:sz w:val="32"/>
          <w:szCs w:val="32"/>
        </w:rPr>
        <w:t>3</w:t>
      </w:r>
      <w:r>
        <w:rPr>
          <w:rFonts w:hint="eastAsia" w:ascii="仿宋_GB2312" w:hAnsi="宋体" w:eastAsia="仿宋_GB2312" w:cs="宋体"/>
          <w:color w:val="000000"/>
          <w:kern w:val="0"/>
          <w:sz w:val="32"/>
          <w:szCs w:val="32"/>
        </w:rPr>
        <w:t>名。离退休</w:t>
      </w:r>
      <w:r>
        <w:rPr>
          <w:rFonts w:hint="eastAsia" w:ascii="宋体" w:hAnsi="宋体" w:cs="宋体"/>
          <w:color w:val="000000"/>
          <w:kern w:val="0"/>
          <w:sz w:val="32"/>
          <w:szCs w:val="32"/>
        </w:rPr>
        <w:t>8</w:t>
      </w:r>
      <w:r>
        <w:rPr>
          <w:rFonts w:hint="eastAsia" w:ascii="仿宋_GB2312" w:hAnsi="宋体" w:eastAsia="仿宋_GB2312" w:cs="宋体"/>
          <w:color w:val="000000"/>
          <w:kern w:val="0"/>
          <w:sz w:val="32"/>
          <w:szCs w:val="32"/>
        </w:rPr>
        <w:t>名，外聘13名，临工</w:t>
      </w:r>
      <w:r>
        <w:rPr>
          <w:rFonts w:hint="eastAsia" w:ascii="宋体" w:hAnsi="宋体" w:cs="宋体"/>
          <w:color w:val="000000"/>
          <w:kern w:val="0"/>
          <w:sz w:val="32"/>
          <w:szCs w:val="32"/>
        </w:rPr>
        <w:t>3</w:t>
      </w:r>
      <w:r>
        <w:rPr>
          <w:rFonts w:hint="eastAsia" w:ascii="仿宋_GB2312" w:hAnsi="宋体" w:eastAsia="仿宋_GB2312" w:cs="宋体"/>
          <w:color w:val="000000"/>
          <w:kern w:val="0"/>
          <w:sz w:val="32"/>
          <w:szCs w:val="32"/>
        </w:rPr>
        <w:t>名。</w:t>
      </w:r>
    </w:p>
    <w:p>
      <w:pPr>
        <w:numPr>
          <w:ilvl w:val="0"/>
          <w:numId w:val="4"/>
        </w:numPr>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单位科室构成情况</w:t>
      </w:r>
    </w:p>
    <w:p>
      <w:pPr>
        <w:widowControl/>
        <w:spacing w:before="100" w:beforeAutospacing="1" w:after="100" w:afterAutospacing="1" w:line="420" w:lineRule="atLeast"/>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根据单位的主要职能内设5个科室，各科室主要职能分别是：</w:t>
      </w:r>
    </w:p>
    <w:p>
      <w:pPr>
        <w:widowControl/>
        <w:spacing w:before="100" w:beforeAutospacing="1" w:after="100" w:afterAutospacing="1" w:line="420" w:lineRule="atLeast"/>
        <w:ind w:firstLine="645"/>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办公室：协助校长组织实施上级有关指示以及校长办公会、行政会作出的决定，并检查贯彻落实情况；负责文秘工作；承办全体教职工的考勤、奖励、评优、评薪、职称评定等工作；接待工作；宣传工作；培训工作等。</w:t>
      </w:r>
    </w:p>
    <w:p>
      <w:pPr>
        <w:widowControl/>
        <w:spacing w:before="100" w:beforeAutospacing="1" w:after="100" w:afterAutospacing="1" w:line="420" w:lineRule="atLeast"/>
        <w:ind w:firstLine="645"/>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2、德育处：学生的日常管理工作；班主任队伍建设；健康卫生教育；大型学生活动；寄宿生的组织管理工作和常规教育工作等。</w:t>
      </w:r>
    </w:p>
    <w:p>
      <w:pPr>
        <w:widowControl/>
        <w:spacing w:before="100" w:beforeAutospacing="1" w:after="100" w:afterAutospacing="1" w:line="420" w:lineRule="atLeast"/>
        <w:ind w:firstLine="645"/>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3、教务处的主要工作职责是组织日常教学工作；组织编排课程表；组织好期中、期末考试工作；安排教师教学任务；教学科研工作；高考工作、图书馆工作等。</w:t>
      </w:r>
    </w:p>
    <w:p>
      <w:pPr>
        <w:widowControl/>
        <w:spacing w:before="100" w:beforeAutospacing="1" w:after="100" w:afterAutospacing="1" w:line="420" w:lineRule="atLeast"/>
        <w:ind w:firstLine="645"/>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4、招生就业办：学校招生与就业工作；负责学生顶岗实习工作；负责对外培训工作等。</w:t>
      </w:r>
    </w:p>
    <w:p>
      <w:pPr>
        <w:widowControl/>
        <w:spacing w:before="100" w:beforeAutospacing="1" w:after="100" w:afterAutospacing="1" w:line="420" w:lineRule="atLeast"/>
        <w:ind w:firstLine="645"/>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5、总务处：负责采购工作；负责学校基本建设工作；负责校产管理工作；管理好饭堂、小卖部、保安；规划、实施管理学校的绿化、清洁卫生工作；配合保卫部门做好学校的安全保卫工作等。</w:t>
      </w:r>
    </w:p>
    <w:p>
      <w:pPr>
        <w:widowControl/>
        <w:spacing w:before="100" w:beforeAutospacing="1" w:after="100" w:afterAutospacing="1" w:line="420" w:lineRule="atLeast"/>
        <w:ind w:firstLine="645"/>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学校工会、共青团等群团组织，在学校党支部领导下按有关规定设置。</w:t>
      </w:r>
    </w:p>
    <w:p>
      <w:pPr>
        <w:widowControl/>
        <w:spacing w:before="100" w:beforeAutospacing="1" w:after="100" w:afterAutospacing="1" w:line="420" w:lineRule="atLeast"/>
        <w:ind w:firstLine="645"/>
        <w:jc w:val="left"/>
        <w:rPr>
          <w:rFonts w:hint="eastAsia" w:ascii="仿宋_GB2312" w:hAnsi="宋体" w:eastAsia="仿宋_GB2312" w:cs="宋体"/>
          <w:color w:val="000000"/>
          <w:kern w:val="0"/>
          <w:sz w:val="32"/>
          <w:szCs w:val="32"/>
        </w:rPr>
      </w:pPr>
    </w:p>
    <w:p>
      <w:pPr>
        <w:widowControl/>
        <w:spacing w:before="100" w:beforeAutospacing="1" w:after="100" w:afterAutospacing="1" w:line="420" w:lineRule="atLeast"/>
        <w:ind w:firstLine="645"/>
        <w:jc w:val="left"/>
        <w:rPr>
          <w:rFonts w:hint="eastAsia" w:ascii="仿宋_GB2312" w:hAnsi="宋体" w:eastAsia="仿宋_GB2312" w:cs="宋体"/>
          <w:color w:val="000000"/>
          <w:kern w:val="0"/>
          <w:sz w:val="32"/>
          <w:szCs w:val="32"/>
        </w:rPr>
      </w:pPr>
    </w:p>
    <w:p>
      <w:pPr>
        <w:widowControl/>
        <w:spacing w:before="100" w:beforeAutospacing="1" w:after="100" w:afterAutospacing="1" w:line="420" w:lineRule="atLeast"/>
        <w:ind w:firstLine="645"/>
        <w:jc w:val="left"/>
        <w:rPr>
          <w:rFonts w:hint="eastAsia" w:ascii="仿宋_GB2312" w:hAnsi="宋体" w:eastAsia="仿宋_GB2312" w:cs="宋体"/>
          <w:color w:val="000000"/>
          <w:kern w:val="0"/>
          <w:sz w:val="32"/>
          <w:szCs w:val="32"/>
        </w:rPr>
      </w:pPr>
    </w:p>
    <w:p>
      <w:pPr>
        <w:widowControl/>
        <w:spacing w:before="100" w:beforeAutospacing="1" w:after="100" w:afterAutospacing="1" w:line="420" w:lineRule="atLeast"/>
        <w:ind w:firstLine="645"/>
        <w:jc w:val="left"/>
        <w:rPr>
          <w:rFonts w:hint="eastAsia" w:ascii="仿宋_GB2312" w:hAnsi="宋体" w:eastAsia="仿宋_GB2312" w:cs="宋体"/>
          <w:color w:val="000000"/>
          <w:kern w:val="0"/>
          <w:sz w:val="32"/>
          <w:szCs w:val="32"/>
        </w:rPr>
      </w:pPr>
    </w:p>
    <w:p>
      <w:pPr>
        <w:widowControl/>
        <w:spacing w:before="100" w:beforeAutospacing="1" w:after="100" w:afterAutospacing="1" w:line="420" w:lineRule="atLeast"/>
        <w:ind w:firstLine="645"/>
        <w:jc w:val="left"/>
        <w:rPr>
          <w:rFonts w:hint="eastAsia" w:ascii="仿宋_GB2312" w:hAnsi="宋体" w:eastAsia="仿宋_GB2312" w:cs="宋体"/>
          <w:color w:val="000000"/>
          <w:kern w:val="0"/>
          <w:sz w:val="32"/>
          <w:szCs w:val="32"/>
        </w:rPr>
      </w:pPr>
    </w:p>
    <w:p>
      <w:pPr>
        <w:widowControl/>
        <w:spacing w:before="100" w:beforeAutospacing="1" w:after="100" w:afterAutospacing="1" w:line="420" w:lineRule="atLeast"/>
        <w:ind w:firstLine="645"/>
        <w:jc w:val="left"/>
        <w:rPr>
          <w:rFonts w:hint="eastAsia" w:ascii="仿宋_GB2312" w:hAnsi="宋体" w:eastAsia="仿宋_GB2312" w:cs="宋体"/>
          <w:color w:val="000000"/>
          <w:kern w:val="0"/>
          <w:sz w:val="32"/>
          <w:szCs w:val="32"/>
        </w:rPr>
      </w:pPr>
    </w:p>
    <w:p>
      <w:pPr>
        <w:widowControl/>
        <w:spacing w:before="100" w:beforeAutospacing="1" w:after="100" w:afterAutospacing="1" w:line="420" w:lineRule="atLeast"/>
        <w:ind w:firstLine="645"/>
        <w:jc w:val="left"/>
        <w:rPr>
          <w:rFonts w:hint="eastAsia" w:ascii="仿宋_GB2312" w:hAnsi="宋体" w:eastAsia="仿宋_GB2312" w:cs="宋体"/>
          <w:color w:val="000000"/>
          <w:kern w:val="0"/>
          <w:sz w:val="32"/>
          <w:szCs w:val="32"/>
        </w:rPr>
      </w:pPr>
    </w:p>
    <w:p>
      <w:pPr>
        <w:widowControl/>
        <w:spacing w:before="100" w:beforeAutospacing="1" w:after="100" w:afterAutospacing="1" w:line="420" w:lineRule="atLeast"/>
        <w:ind w:firstLine="645"/>
        <w:jc w:val="left"/>
        <w:rPr>
          <w:rFonts w:hint="eastAsia" w:ascii="仿宋_GB2312" w:hAnsi="宋体" w:eastAsia="仿宋_GB2312" w:cs="宋体"/>
          <w:color w:val="000000"/>
          <w:kern w:val="0"/>
          <w:sz w:val="32"/>
          <w:szCs w:val="32"/>
        </w:rPr>
      </w:pPr>
    </w:p>
    <w:p>
      <w:pPr>
        <w:widowControl/>
        <w:spacing w:before="100" w:beforeAutospacing="1" w:after="100" w:afterAutospacing="1" w:line="420" w:lineRule="atLeast"/>
        <w:ind w:firstLine="645"/>
        <w:jc w:val="left"/>
        <w:rPr>
          <w:rFonts w:hint="eastAsia" w:ascii="仿宋_GB2312" w:hAnsi="宋体" w:eastAsia="仿宋_GB2312" w:cs="宋体"/>
          <w:color w:val="000000"/>
          <w:kern w:val="0"/>
          <w:sz w:val="32"/>
          <w:szCs w:val="32"/>
        </w:rPr>
      </w:pPr>
    </w:p>
    <w:p>
      <w:pPr>
        <w:widowControl/>
        <w:spacing w:before="100" w:beforeAutospacing="1" w:after="100" w:afterAutospacing="1" w:line="420" w:lineRule="atLeast"/>
        <w:ind w:firstLine="645"/>
        <w:jc w:val="left"/>
        <w:rPr>
          <w:rFonts w:hint="eastAsia" w:ascii="仿宋_GB2312" w:hAnsi="宋体" w:eastAsia="仿宋_GB2312" w:cs="宋体"/>
          <w:color w:val="000000"/>
          <w:kern w:val="0"/>
          <w:sz w:val="32"/>
          <w:szCs w:val="32"/>
        </w:rPr>
      </w:pPr>
    </w:p>
    <w:p>
      <w:pPr>
        <w:widowControl/>
        <w:spacing w:before="100" w:beforeAutospacing="1" w:after="100" w:afterAutospacing="1" w:line="420" w:lineRule="atLeast"/>
        <w:ind w:firstLine="645"/>
        <w:jc w:val="left"/>
        <w:rPr>
          <w:rFonts w:hint="eastAsia" w:ascii="仿宋_GB2312" w:hAnsi="宋体" w:eastAsia="仿宋_GB2312" w:cs="宋体"/>
          <w:color w:val="000000"/>
          <w:kern w:val="0"/>
          <w:sz w:val="32"/>
          <w:szCs w:val="32"/>
        </w:rPr>
      </w:pPr>
    </w:p>
    <w:p>
      <w:pPr>
        <w:widowControl/>
        <w:spacing w:before="100" w:beforeAutospacing="1" w:after="100" w:afterAutospacing="1" w:line="420" w:lineRule="atLeast"/>
        <w:ind w:firstLine="645"/>
        <w:jc w:val="left"/>
        <w:rPr>
          <w:rFonts w:hint="eastAsia" w:ascii="仿宋_GB2312" w:hAnsi="宋体" w:eastAsia="仿宋_GB2312" w:cs="宋体"/>
          <w:color w:val="000000"/>
          <w:kern w:val="0"/>
          <w:sz w:val="32"/>
          <w:szCs w:val="32"/>
        </w:rPr>
      </w:pPr>
    </w:p>
    <w:p>
      <w:pPr>
        <w:widowControl/>
        <w:spacing w:before="100" w:beforeAutospacing="1" w:after="100" w:afterAutospacing="1" w:line="420" w:lineRule="atLeast"/>
        <w:ind w:firstLine="645"/>
        <w:jc w:val="left"/>
        <w:rPr>
          <w:rFonts w:hint="eastAsia" w:ascii="仿宋_GB2312" w:hAnsi="宋体" w:eastAsia="仿宋_GB2312" w:cs="宋体"/>
          <w:color w:val="000000"/>
          <w:kern w:val="0"/>
          <w:sz w:val="32"/>
          <w:szCs w:val="32"/>
        </w:rPr>
      </w:pPr>
    </w:p>
    <w:p>
      <w:pPr>
        <w:widowControl/>
        <w:spacing w:before="100" w:beforeAutospacing="1" w:after="100" w:afterAutospacing="1" w:line="420" w:lineRule="atLeast"/>
        <w:ind w:firstLine="645"/>
        <w:jc w:val="left"/>
        <w:rPr>
          <w:rFonts w:hint="eastAsia" w:ascii="仿宋_GB2312" w:hAnsi="宋体" w:eastAsia="仿宋_GB2312" w:cs="宋体"/>
          <w:color w:val="000000"/>
          <w:kern w:val="0"/>
          <w:sz w:val="32"/>
          <w:szCs w:val="32"/>
        </w:rPr>
      </w:pP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第</w:t>
      </w:r>
      <w:bookmarkStart w:id="1" w:name="_GoBack"/>
      <w:bookmarkEnd w:id="1"/>
      <w:r>
        <w:rPr>
          <w:rFonts w:hint="eastAsia" w:ascii="方正小标宋简体" w:hAnsi="方正小标宋简体" w:eastAsia="方正小标宋简体" w:cs="方正小标宋简体"/>
          <w:sz w:val="44"/>
          <w:szCs w:val="44"/>
          <w:lang w:val="en-US" w:eastAsia="zh-CN"/>
        </w:rPr>
        <w:t>三部分  2018年部门预算情况说明</w:t>
      </w:r>
    </w:p>
    <w:p>
      <w:pPr>
        <w:numPr>
          <w:ilvl w:val="0"/>
          <w:numId w:val="5"/>
        </w:numPr>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部门预算收支增减变化情况</w:t>
      </w:r>
    </w:p>
    <w:p>
      <w:pPr>
        <w:numPr>
          <w:ilvl w:val="0"/>
          <w:numId w:val="0"/>
        </w:numPr>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2018年我校收入预算3474.9万元，比上年增加603.17万元，增长21%，主要原因是单位在职在编人员增加，以及基本养老保险缴费基数增加；其中一般公共预算3290.9万元，比上年增加419.17万元，增长14.60%，主要原因是单位在职在编人员增加，以及基本养老保险缴费基数增加；财政专户拨款184万元，比上年增加184万元，增长0%（上年无财政专户拨款，无对比数，比率为0），主要原因是单位在职在编人员增加，以及基本养老保险缴费基数增加。</w:t>
      </w:r>
    </w:p>
    <w:p>
      <w:pPr>
        <w:widowControl/>
        <w:spacing w:before="100" w:beforeAutospacing="1" w:after="100" w:afterAutospacing="1" w:line="420" w:lineRule="atLeast"/>
        <w:ind w:firstLine="645"/>
        <w:jc w:val="left"/>
        <w:rPr>
          <w:rFonts w:hint="eastAsia" w:ascii="仿宋_GB2312" w:hAnsi="宋体" w:eastAsia="仿宋_GB2312" w:cs="宋体"/>
          <w:color w:val="000000"/>
          <w:kern w:val="0"/>
          <w:sz w:val="32"/>
          <w:szCs w:val="32"/>
          <w:lang w:val="en-US" w:eastAsia="zh-CN"/>
        </w:rPr>
      </w:pPr>
      <w:r>
        <w:rPr>
          <w:rFonts w:hint="eastAsia" w:ascii="仿宋_GB2312" w:hAnsi="仿宋_GB2312" w:eastAsia="仿宋_GB2312" w:cs="仿宋_GB2312"/>
          <w:sz w:val="32"/>
          <w:szCs w:val="32"/>
          <w:lang w:val="en-US" w:eastAsia="zh-CN"/>
        </w:rPr>
        <w:t>支出预算3474.9万元，比上年增加603.17万元，增长21%，主要原因是单位在职在编人员增加，以及基本养老保险缴费基数增加。</w:t>
      </w:r>
      <w:r>
        <w:rPr>
          <w:rFonts w:hint="eastAsia" w:ascii="仿宋_GB2312" w:hAnsi="宋体" w:eastAsia="仿宋_GB2312" w:cs="宋体"/>
          <w:color w:val="000000"/>
          <w:kern w:val="0"/>
          <w:sz w:val="32"/>
          <w:szCs w:val="32"/>
          <w:lang w:val="en-US" w:eastAsia="zh-CN"/>
        </w:rPr>
        <w:t>按用途划分，包括：</w:t>
      </w:r>
    </w:p>
    <w:p>
      <w:pPr>
        <w:numPr>
          <w:ilvl w:val="0"/>
          <w:numId w:val="0"/>
        </w:numPr>
        <w:ind w:firstLine="640"/>
        <w:jc w:val="both"/>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rPr>
        <w:t>基本支出预算</w:t>
      </w:r>
      <w:r>
        <w:rPr>
          <w:rFonts w:hint="eastAsia" w:ascii="仿宋_GB2312" w:hAnsi="宋体" w:eastAsia="仿宋_GB2312" w:cs="宋体"/>
          <w:color w:val="000000"/>
          <w:kern w:val="0"/>
          <w:sz w:val="32"/>
          <w:szCs w:val="32"/>
          <w:lang w:val="en-US" w:eastAsia="zh-CN"/>
        </w:rPr>
        <w:t>2830.26</w:t>
      </w:r>
      <w:r>
        <w:rPr>
          <w:rFonts w:hint="eastAsia" w:ascii="仿宋_GB2312" w:hAnsi="宋体" w:eastAsia="仿宋_GB2312" w:cs="宋体"/>
          <w:color w:val="000000"/>
          <w:kern w:val="0"/>
          <w:sz w:val="32"/>
          <w:szCs w:val="32"/>
        </w:rPr>
        <w:t>万元，占总支出预算的</w:t>
      </w:r>
      <w:r>
        <w:rPr>
          <w:rFonts w:hint="eastAsia" w:ascii="仿宋_GB2312" w:hAnsi="宋体" w:eastAsia="仿宋_GB2312" w:cs="宋体"/>
          <w:color w:val="000000"/>
          <w:kern w:val="0"/>
          <w:sz w:val="32"/>
          <w:szCs w:val="32"/>
          <w:lang w:val="en-US" w:eastAsia="zh-CN"/>
        </w:rPr>
        <w:t>81.45</w:t>
      </w:r>
      <w:r>
        <w:rPr>
          <w:rFonts w:hint="eastAsia"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比上年增加534.08万元</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增长23.26</w:t>
      </w:r>
      <w:r>
        <w:rPr>
          <w:rFonts w:hint="eastAsia"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其中：工资福利支出</w:t>
      </w:r>
      <w:r>
        <w:rPr>
          <w:rFonts w:hint="eastAsia" w:ascii="仿宋_GB2312" w:hAnsi="宋体" w:eastAsia="仿宋_GB2312" w:cs="宋体"/>
          <w:color w:val="000000"/>
          <w:kern w:val="0"/>
          <w:sz w:val="32"/>
          <w:szCs w:val="32"/>
          <w:lang w:val="en-US" w:eastAsia="zh-CN"/>
        </w:rPr>
        <w:t>2328.67</w:t>
      </w:r>
      <w:r>
        <w:rPr>
          <w:rFonts w:hint="eastAsia" w:ascii="仿宋_GB2312" w:hAnsi="宋体" w:eastAsia="仿宋_GB2312" w:cs="宋体"/>
          <w:color w:val="000000"/>
          <w:kern w:val="0"/>
          <w:sz w:val="32"/>
          <w:szCs w:val="32"/>
        </w:rPr>
        <w:t>万元；对个人和家庭的补助</w:t>
      </w:r>
      <w:r>
        <w:rPr>
          <w:rFonts w:hint="eastAsia" w:ascii="仿宋_GB2312" w:hAnsi="宋体" w:eastAsia="仿宋_GB2312" w:cs="宋体"/>
          <w:color w:val="000000"/>
          <w:kern w:val="0"/>
          <w:sz w:val="32"/>
          <w:szCs w:val="32"/>
          <w:lang w:val="en-US" w:eastAsia="zh-CN"/>
        </w:rPr>
        <w:t>331.55</w:t>
      </w:r>
      <w:r>
        <w:rPr>
          <w:rFonts w:hint="eastAsia" w:ascii="仿宋_GB2312" w:hAnsi="宋体" w:eastAsia="仿宋_GB2312" w:cs="宋体"/>
          <w:color w:val="000000"/>
          <w:kern w:val="0"/>
          <w:sz w:val="32"/>
          <w:szCs w:val="32"/>
        </w:rPr>
        <w:t>万元；商品和服务支出</w:t>
      </w:r>
      <w:r>
        <w:rPr>
          <w:rFonts w:hint="eastAsia" w:ascii="仿宋_GB2312" w:hAnsi="宋体" w:eastAsia="仿宋_GB2312" w:cs="宋体"/>
          <w:color w:val="000000"/>
          <w:kern w:val="0"/>
          <w:sz w:val="32"/>
          <w:szCs w:val="32"/>
          <w:lang w:val="en-US" w:eastAsia="zh-CN"/>
        </w:rPr>
        <w:t>68.04</w:t>
      </w:r>
      <w:r>
        <w:rPr>
          <w:rFonts w:hint="eastAsia"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项目支出预算</w:t>
      </w:r>
      <w:r>
        <w:rPr>
          <w:rFonts w:hint="eastAsia" w:ascii="仿宋_GB2312" w:hAnsi="宋体" w:eastAsia="仿宋_GB2312" w:cs="宋体"/>
          <w:color w:val="000000"/>
          <w:kern w:val="0"/>
          <w:sz w:val="32"/>
          <w:szCs w:val="32"/>
          <w:lang w:val="en-US" w:eastAsia="zh-CN"/>
        </w:rPr>
        <w:t>644.64</w:t>
      </w:r>
      <w:r>
        <w:rPr>
          <w:rFonts w:hint="eastAsia" w:ascii="仿宋_GB2312" w:hAnsi="宋体" w:eastAsia="仿宋_GB2312" w:cs="宋体"/>
          <w:color w:val="000000"/>
          <w:kern w:val="0"/>
          <w:sz w:val="32"/>
          <w:szCs w:val="32"/>
        </w:rPr>
        <w:t>万元，占总支出预算的</w:t>
      </w:r>
      <w:r>
        <w:rPr>
          <w:rFonts w:hint="eastAsia" w:ascii="仿宋_GB2312" w:hAnsi="宋体" w:eastAsia="仿宋_GB2312" w:cs="宋体"/>
          <w:color w:val="000000"/>
          <w:kern w:val="0"/>
          <w:sz w:val="32"/>
          <w:szCs w:val="32"/>
          <w:lang w:val="en-US" w:eastAsia="zh-CN"/>
        </w:rPr>
        <w:t>18.55</w:t>
      </w:r>
      <w:r>
        <w:rPr>
          <w:rFonts w:hint="eastAsia"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比上年增加69.09万元</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增长12</w:t>
      </w:r>
      <w:r>
        <w:rPr>
          <w:rFonts w:hint="eastAsia"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主要支出项目有：</w:t>
      </w:r>
      <w:r>
        <w:rPr>
          <w:rFonts w:hint="eastAsia" w:ascii="仿宋_GB2312" w:hAnsi="宋体" w:eastAsia="仿宋_GB2312" w:cs="宋体"/>
          <w:color w:val="000000"/>
          <w:kern w:val="0"/>
          <w:sz w:val="32"/>
          <w:szCs w:val="32"/>
          <w:lang w:val="en-US" w:eastAsia="zh-CN"/>
        </w:rPr>
        <w:t>合作办学经费70万元，教学设备更新维护经费24.96万元，考试考务经费12万元，市直属中小学临时聘请专任教师经费18.45万元，水电费116.1万元，校园场室修缮和设施维护经费18.47万元，校园后勤服务经费86.4万元，学生工作经费4万元，学生军训经费7.35万元，学生课本资料经费59万元，学生实习实验经费22万元，学校教学工作管理经费51.48万元，预留办公设备购置经费9.9万元，中职外聘专任教师经费101.48万元，教师培训经费43.05万元。</w:t>
      </w:r>
    </w:p>
    <w:p>
      <w:pPr>
        <w:numPr>
          <w:ilvl w:val="0"/>
          <w:numId w:val="0"/>
        </w:numPr>
        <w:ind w:firstLine="640"/>
        <w:jc w:val="both"/>
        <w:rPr>
          <w:rFonts w:hint="eastAsia" w:ascii="仿宋_GB2312" w:hAnsi="宋体" w:eastAsia="仿宋_GB2312" w:cs="宋体"/>
          <w:color w:val="000000"/>
          <w:kern w:val="0"/>
          <w:sz w:val="32"/>
          <w:szCs w:val="32"/>
          <w:lang w:val="en-US" w:eastAsia="zh-CN"/>
        </w:rPr>
      </w:pPr>
    </w:p>
    <w:p>
      <w:pPr>
        <w:numPr>
          <w:ilvl w:val="0"/>
          <w:numId w:val="5"/>
        </w:numPr>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“三公”经费安排情况说明</w:t>
      </w:r>
    </w:p>
    <w:p>
      <w:pPr>
        <w:numPr>
          <w:ilvl w:val="0"/>
          <w:numId w:val="0"/>
        </w:numPr>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2018年本部门“三公”经费预算安排10万元，比上年增加3.5万元，增长53.85%。主要原因是公务用车购置及运行费预算数错计为7万元，实际预算应为3.5万元，与上年保持不变，预多的3.5万将致函调整至其他商品和服务支出。其中：公务用车购置及运行费7万元，比上年增加3.5万元，增长100%，主要原因是预算数错计为7万元，实际预算应为3.5万元，与上年保持不变，预多的3.5万将致函调整至其他商品和服务支出；公务接待费3万元，与上年保持不变。</w:t>
      </w:r>
    </w:p>
    <w:p>
      <w:pPr>
        <w:numPr>
          <w:ilvl w:val="0"/>
          <w:numId w:val="0"/>
        </w:numPr>
        <w:ind w:firstLine="640"/>
        <w:jc w:val="both"/>
        <w:rPr>
          <w:rFonts w:hint="eastAsia" w:ascii="仿宋_GB2312" w:hAnsi="仿宋_GB2312" w:eastAsia="仿宋_GB2312" w:cs="仿宋_GB2312"/>
          <w:sz w:val="32"/>
          <w:szCs w:val="32"/>
          <w:lang w:val="en-US" w:eastAsia="zh-CN"/>
        </w:rPr>
      </w:pPr>
    </w:p>
    <w:p>
      <w:pPr>
        <w:numPr>
          <w:ilvl w:val="0"/>
          <w:numId w:val="5"/>
        </w:numPr>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机关运行经费安排情况</w:t>
      </w:r>
    </w:p>
    <w:p>
      <w:pPr>
        <w:numPr>
          <w:ilvl w:val="0"/>
          <w:numId w:val="0"/>
        </w:numPr>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2018年，本部门机关运行经费安排164.63万元，比上年减少0.69万元，下降0.42%，</w:t>
      </w:r>
      <w:r>
        <w:rPr>
          <w:rFonts w:hint="eastAsia" w:ascii="仿宋_GB2312" w:hAnsi="仿宋_GB2312" w:eastAsia="仿宋_GB2312" w:cs="仿宋_GB2312"/>
          <w:sz w:val="32"/>
          <w:szCs w:val="32"/>
          <w:highlight w:val="none"/>
          <w:lang w:val="en-US" w:eastAsia="zh-CN"/>
        </w:rPr>
        <w:t>主要原因是</w:t>
      </w:r>
      <w:r>
        <w:rPr>
          <w:rFonts w:hint="eastAsia" w:ascii="仿宋_GB2312" w:hAnsi="宋体" w:eastAsia="仿宋_GB2312" w:cs="宋体"/>
          <w:color w:val="auto"/>
          <w:kern w:val="0"/>
          <w:sz w:val="32"/>
          <w:szCs w:val="32"/>
          <w:lang w:val="en-US" w:eastAsia="zh-CN"/>
        </w:rPr>
        <w:t>按照中央及省有关厉行节约规定，从严控制一般性支出，压减涉及的科目按照规定进行压减。</w:t>
      </w:r>
      <w:r>
        <w:rPr>
          <w:rFonts w:hint="eastAsia" w:ascii="仿宋_GB2312" w:hAnsi="仿宋_GB2312" w:eastAsia="仿宋_GB2312" w:cs="仿宋_GB2312"/>
          <w:sz w:val="32"/>
          <w:szCs w:val="32"/>
          <w:lang w:val="en-US" w:eastAsia="zh-CN"/>
        </w:rPr>
        <w:t>其中：办公费10万元，印刷费3.3万元，邮电费5万元，差旅费14.9万元，会议费0万元，福利费26.57万元，日常维修费0万元，专用材料及一般设备购置费0万元，办公用房水电费0万元，办公用房取暖费0万元，办公用房物业管理费0万元，公务用车运行维护费7万元（由于经验不足，预算数错计为7万元，实际预算应为3.5万元，与上年保持不变，预多的3.5万将致函调整至其他商品和服务支出），手续费0.06万元，公务接待费3万元，工会经费11.51元，其他交通费用2万元，其他商品和服务支出81.29万元。</w:t>
      </w:r>
    </w:p>
    <w:p>
      <w:pPr>
        <w:numPr>
          <w:ilvl w:val="0"/>
          <w:numId w:val="0"/>
        </w:numPr>
        <w:ind w:firstLine="640"/>
        <w:jc w:val="both"/>
        <w:rPr>
          <w:rFonts w:hint="eastAsia" w:ascii="仿宋_GB2312" w:hAnsi="仿宋_GB2312" w:eastAsia="仿宋_GB2312" w:cs="仿宋_GB2312"/>
          <w:sz w:val="32"/>
          <w:szCs w:val="32"/>
          <w:lang w:val="en-US" w:eastAsia="zh-CN"/>
        </w:rPr>
      </w:pPr>
    </w:p>
    <w:p>
      <w:pPr>
        <w:numPr>
          <w:ilvl w:val="0"/>
          <w:numId w:val="5"/>
        </w:numPr>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政府采购情况</w:t>
      </w:r>
    </w:p>
    <w:p>
      <w:pPr>
        <w:widowControl w:val="0"/>
        <w:numPr>
          <w:ilvl w:val="0"/>
          <w:numId w:val="0"/>
        </w:numPr>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2018年本部门政府采购安排9.9万元，其中：货物类采购预算0万元，工程类采购预算0万元，服务类采购预算9.9万元（</w:t>
      </w:r>
      <w:r>
        <w:rPr>
          <w:rFonts w:hint="eastAsia" w:eastAsia="仿宋_GB2312"/>
          <w:sz w:val="32"/>
          <w:szCs w:val="32"/>
          <w:lang w:val="en-US" w:eastAsia="zh-CN"/>
        </w:rPr>
        <w:t>预留办公设备购置经费）</w:t>
      </w:r>
      <w:r>
        <w:rPr>
          <w:rFonts w:hint="eastAsia" w:ascii="仿宋_GB2312" w:hAnsi="仿宋_GB2312" w:eastAsia="仿宋_GB2312" w:cs="仿宋_GB2312"/>
          <w:sz w:val="32"/>
          <w:szCs w:val="32"/>
          <w:lang w:val="en-US" w:eastAsia="zh-CN"/>
        </w:rPr>
        <w:t>。</w:t>
      </w:r>
    </w:p>
    <w:p>
      <w:pPr>
        <w:widowControl w:val="0"/>
        <w:numPr>
          <w:ilvl w:val="0"/>
          <w:numId w:val="0"/>
        </w:numPr>
        <w:ind w:firstLine="640"/>
        <w:jc w:val="both"/>
        <w:rPr>
          <w:rFonts w:hint="eastAsia" w:ascii="仿宋_GB2312" w:hAnsi="仿宋_GB2312" w:eastAsia="仿宋_GB2312" w:cs="仿宋_GB2312"/>
          <w:sz w:val="32"/>
          <w:szCs w:val="32"/>
          <w:lang w:val="en-US" w:eastAsia="zh-CN"/>
        </w:rPr>
      </w:pPr>
    </w:p>
    <w:p>
      <w:pPr>
        <w:numPr>
          <w:ilvl w:val="0"/>
          <w:numId w:val="5"/>
        </w:numPr>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国有资产占有使用情况</w:t>
      </w:r>
    </w:p>
    <w:p>
      <w:pPr>
        <w:numPr>
          <w:ilvl w:val="0"/>
          <w:numId w:val="0"/>
        </w:numPr>
        <w:ind w:firstLine="640"/>
        <w:jc w:val="both"/>
        <w:rPr>
          <w:rFonts w:hint="eastAsia" w:eastAsia="仿宋_GB2312"/>
          <w:sz w:val="32"/>
          <w:szCs w:val="32"/>
          <w:lang w:val="en-US" w:eastAsia="zh-CN"/>
        </w:rPr>
      </w:pPr>
      <w:r>
        <w:rPr>
          <w:rFonts w:hint="eastAsia" w:ascii="仿宋_GB2312" w:hAnsi="仿宋_GB2312" w:eastAsia="仿宋_GB2312" w:cs="仿宋_GB2312"/>
          <w:sz w:val="32"/>
          <w:szCs w:val="32"/>
          <w:lang w:val="en-US" w:eastAsia="zh-CN"/>
        </w:rPr>
        <w:t>截至2017年12月31日，中山火炬开发区理工学校共有车辆1辆，与上年保持不变。其中，一般公务用车1辆；</w:t>
      </w:r>
      <w:r>
        <w:rPr>
          <w:rFonts w:hint="eastAsia" w:eastAsia="仿宋_GB2312"/>
          <w:sz w:val="32"/>
          <w:szCs w:val="32"/>
          <w:lang w:val="en-US" w:eastAsia="zh-CN"/>
        </w:rPr>
        <w:t>固定资产为</w:t>
      </w:r>
      <w:r>
        <w:rPr>
          <w:rFonts w:hint="eastAsia" w:ascii="仿宋_GB2312" w:hAnsi="仿宋_GB2312" w:eastAsia="仿宋_GB2312" w:cs="仿宋_GB2312"/>
          <w:sz w:val="32"/>
          <w:szCs w:val="32"/>
          <w:lang w:val="en-US" w:eastAsia="zh-CN"/>
        </w:rPr>
        <w:t>2968.12万</w:t>
      </w:r>
      <w:r>
        <w:rPr>
          <w:rFonts w:hint="eastAsia" w:eastAsia="仿宋_GB2312"/>
          <w:sz w:val="32"/>
          <w:szCs w:val="32"/>
          <w:lang w:val="en-US" w:eastAsia="zh-CN"/>
        </w:rPr>
        <w:t>元。占资产总额的100%。其中通用设备1890.18元，专用设备175.81</w:t>
      </w:r>
      <w:r>
        <w:rPr>
          <w:rFonts w:hint="eastAsia" w:ascii="仿宋_GB2312" w:hAnsi="仿宋_GB2312" w:eastAsia="仿宋_GB2312" w:cs="仿宋_GB2312"/>
          <w:sz w:val="32"/>
          <w:szCs w:val="32"/>
          <w:lang w:val="en-US" w:eastAsia="zh-CN"/>
        </w:rPr>
        <w:t>万</w:t>
      </w:r>
      <w:r>
        <w:rPr>
          <w:rFonts w:hint="eastAsia" w:eastAsia="仿宋_GB2312"/>
          <w:sz w:val="32"/>
          <w:szCs w:val="32"/>
          <w:lang w:val="en-US" w:eastAsia="zh-CN"/>
        </w:rPr>
        <w:t>元，文物和陈列品6.71</w:t>
      </w:r>
      <w:r>
        <w:rPr>
          <w:rFonts w:hint="eastAsia" w:ascii="仿宋_GB2312" w:hAnsi="仿宋_GB2312" w:eastAsia="仿宋_GB2312" w:cs="仿宋_GB2312"/>
          <w:sz w:val="32"/>
          <w:szCs w:val="32"/>
          <w:lang w:val="en-US" w:eastAsia="zh-CN"/>
        </w:rPr>
        <w:t>万</w:t>
      </w:r>
      <w:r>
        <w:rPr>
          <w:rFonts w:hint="eastAsia" w:eastAsia="仿宋_GB2312"/>
          <w:sz w:val="32"/>
          <w:szCs w:val="32"/>
          <w:lang w:val="en-US" w:eastAsia="zh-CN"/>
        </w:rPr>
        <w:t>元，图书、档案356.87</w:t>
      </w:r>
      <w:r>
        <w:rPr>
          <w:rFonts w:hint="eastAsia" w:ascii="仿宋_GB2312" w:hAnsi="仿宋_GB2312" w:eastAsia="仿宋_GB2312" w:cs="仿宋_GB2312"/>
          <w:sz w:val="32"/>
          <w:szCs w:val="32"/>
          <w:lang w:val="en-US" w:eastAsia="zh-CN"/>
        </w:rPr>
        <w:t>万</w:t>
      </w:r>
      <w:r>
        <w:rPr>
          <w:rFonts w:hint="eastAsia" w:eastAsia="仿宋_GB2312"/>
          <w:sz w:val="32"/>
          <w:szCs w:val="32"/>
          <w:lang w:val="en-US" w:eastAsia="zh-CN"/>
        </w:rPr>
        <w:t>元。家具、用具、装具及动植物538.55</w:t>
      </w:r>
      <w:r>
        <w:rPr>
          <w:rFonts w:hint="eastAsia" w:ascii="仿宋_GB2312" w:hAnsi="仿宋_GB2312" w:eastAsia="仿宋_GB2312" w:cs="仿宋_GB2312"/>
          <w:sz w:val="32"/>
          <w:szCs w:val="32"/>
          <w:lang w:val="en-US" w:eastAsia="zh-CN"/>
        </w:rPr>
        <w:t>万</w:t>
      </w:r>
      <w:r>
        <w:rPr>
          <w:rFonts w:hint="eastAsia" w:eastAsia="仿宋_GB2312"/>
          <w:sz w:val="32"/>
          <w:szCs w:val="32"/>
          <w:lang w:val="en-US" w:eastAsia="zh-CN"/>
        </w:rPr>
        <w:t>元。无单位价值50万元以上的大型设备。</w:t>
      </w:r>
    </w:p>
    <w:p>
      <w:pPr>
        <w:numPr>
          <w:ilvl w:val="0"/>
          <w:numId w:val="0"/>
        </w:numPr>
        <w:ind w:firstLine="640"/>
        <w:jc w:val="both"/>
        <w:rPr>
          <w:rFonts w:hint="eastAsia" w:eastAsia="仿宋_GB2312"/>
          <w:sz w:val="32"/>
          <w:szCs w:val="32"/>
          <w:lang w:val="en-US" w:eastAsia="zh-CN"/>
        </w:rPr>
      </w:pPr>
    </w:p>
    <w:p>
      <w:pPr>
        <w:numPr>
          <w:ilvl w:val="0"/>
          <w:numId w:val="5"/>
        </w:numPr>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预算绩效信息公开情况</w:t>
      </w:r>
    </w:p>
    <w:p>
      <w:pPr>
        <w:numPr>
          <w:ilvl w:val="0"/>
          <w:numId w:val="0"/>
        </w:numPr>
        <w:ind w:firstLine="640"/>
        <w:jc w:val="both"/>
        <w:rPr>
          <w:rFonts w:hint="eastAsia" w:eastAsia="仿宋_GB2312"/>
          <w:sz w:val="32"/>
          <w:szCs w:val="32"/>
          <w:lang w:val="en-US" w:eastAsia="zh-CN"/>
        </w:rPr>
      </w:pPr>
      <w:r>
        <w:rPr>
          <w:rFonts w:hint="eastAsia" w:eastAsia="仿宋_GB2312"/>
          <w:sz w:val="32"/>
          <w:szCs w:val="32"/>
          <w:lang w:val="en-US" w:eastAsia="zh-CN"/>
        </w:rPr>
        <w:t>按照</w:t>
      </w:r>
      <w:r>
        <w:rPr>
          <w:rFonts w:hint="eastAsia" w:ascii="仿宋_GB2312" w:hAnsi="仿宋_GB2312" w:eastAsia="仿宋_GB2312" w:cs="仿宋_GB2312"/>
          <w:sz w:val="32"/>
          <w:szCs w:val="32"/>
          <w:lang w:val="en-US" w:eastAsia="zh-CN"/>
        </w:rPr>
        <w:t>2018年</w:t>
      </w:r>
      <w:r>
        <w:rPr>
          <w:rFonts w:hint="eastAsia" w:eastAsia="仿宋_GB2312"/>
          <w:sz w:val="32"/>
          <w:szCs w:val="32"/>
          <w:lang w:val="en-US" w:eastAsia="zh-CN"/>
        </w:rPr>
        <w:t>预算编制要求，我校推进绩效管理工作，绩效目标实现全覆盖。</w:t>
      </w:r>
    </w:p>
    <w:p>
      <w:pPr>
        <w:numPr>
          <w:ilvl w:val="0"/>
          <w:numId w:val="0"/>
        </w:numPr>
        <w:ind w:firstLine="640"/>
        <w:jc w:val="both"/>
        <w:rPr>
          <w:rFonts w:hint="eastAsia" w:eastAsia="仿宋_GB2312"/>
          <w:sz w:val="32"/>
          <w:szCs w:val="32"/>
          <w:lang w:val="en-US" w:eastAsia="zh-CN"/>
        </w:rPr>
      </w:pPr>
    </w:p>
    <w:p>
      <w:pPr>
        <w:numPr>
          <w:ilvl w:val="0"/>
          <w:numId w:val="5"/>
        </w:numPr>
        <w:ind w:firstLine="640" w:firstLineChars="200"/>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其他</w:t>
      </w:r>
    </w:p>
    <w:p>
      <w:pPr>
        <w:numPr>
          <w:ilvl w:val="0"/>
          <w:numId w:val="6"/>
        </w:numPr>
        <w:ind w:left="640" w:firstLine="0" w:firstLineChars="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财税政策和规章制度</w:t>
      </w:r>
    </w:p>
    <w:p>
      <w:pPr>
        <w:tabs>
          <w:tab w:val="left" w:pos="5730"/>
        </w:tabs>
        <w:spacing w:line="640" w:lineRule="exact"/>
        <w:ind w:firstLine="640" w:firstLineChars="200"/>
        <w:rPr>
          <w:color w:val="auto"/>
          <w:szCs w:val="21"/>
          <w:highlight w:val="none"/>
        </w:rPr>
      </w:pPr>
      <w:r>
        <w:rPr>
          <w:rFonts w:hint="eastAsia" w:eastAsia="仿宋_GB2312"/>
          <w:sz w:val="32"/>
          <w:szCs w:val="32"/>
          <w:lang w:eastAsia="zh-CN"/>
        </w:rPr>
        <w:t>我校已于</w:t>
      </w:r>
      <w:r>
        <w:rPr>
          <w:rFonts w:hint="eastAsia" w:eastAsia="仿宋_GB2312"/>
          <w:sz w:val="32"/>
          <w:szCs w:val="32"/>
          <w:lang w:val="en-US" w:eastAsia="zh-CN"/>
        </w:rPr>
        <w:t>2018年1月1日制定并开始实施《中山火炬开发区理工学校内部控制手册（试行版）》，相关</w:t>
      </w:r>
      <w:r>
        <w:rPr>
          <w:rFonts w:hint="eastAsia" w:eastAsia="仿宋_GB2312"/>
          <w:sz w:val="32"/>
          <w:szCs w:val="32"/>
        </w:rPr>
        <w:t>支出政策和规章制度已</w:t>
      </w:r>
      <w:r>
        <w:rPr>
          <w:rFonts w:hint="eastAsia" w:eastAsia="仿宋_GB2312"/>
          <w:sz w:val="32"/>
          <w:szCs w:val="32"/>
          <w:lang w:eastAsia="zh-CN"/>
        </w:rPr>
        <w:t>基本</w:t>
      </w:r>
      <w:r>
        <w:rPr>
          <w:rFonts w:hint="eastAsia" w:eastAsia="仿宋_GB2312"/>
          <w:sz w:val="32"/>
          <w:szCs w:val="32"/>
        </w:rPr>
        <w:t>建立。</w:t>
      </w:r>
      <w:r>
        <w:rPr>
          <w:rFonts w:hint="eastAsia" w:eastAsia="仿宋_GB2312"/>
          <w:sz w:val="32"/>
          <w:szCs w:val="32"/>
          <w:lang w:val="en-US" w:eastAsia="zh-CN"/>
        </w:rPr>
        <w:t>具体政策详见中山火炬开发区理工学校官网“其他新闻”—“通知公告（校务公开）”栏目。</w:t>
      </w:r>
    </w:p>
    <w:p>
      <w:pPr>
        <w:numPr>
          <w:ilvl w:val="0"/>
          <w:numId w:val="6"/>
        </w:numPr>
        <w:ind w:left="640" w:firstLine="0" w:firstLineChars="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专项资金信息公开</w:t>
      </w:r>
    </w:p>
    <w:p>
      <w:pPr>
        <w:ind w:firstLine="640" w:firstLineChars="200"/>
        <w:jc w:val="left"/>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2018年本单位无专项资金预算。</w:t>
      </w: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第四部分  名词解释</w:t>
      </w:r>
    </w:p>
    <w:p>
      <w:pPr>
        <w:ind w:firstLine="640" w:firstLineChars="200"/>
        <w:jc w:val="left"/>
        <w:rPr>
          <w:rFonts w:hint="eastAsia" w:ascii="仿宋_GB2312" w:hAnsi="宋体" w:eastAsia="仿宋_GB2312" w:cs="宋体"/>
          <w:color w:val="000000"/>
          <w:kern w:val="0"/>
          <w:sz w:val="32"/>
          <w:szCs w:val="32"/>
        </w:rPr>
      </w:pPr>
      <w:r>
        <w:rPr>
          <w:rFonts w:hint="eastAsia" w:ascii="仿宋_GB2312" w:hAnsi="仿宋_GB2312" w:eastAsia="仿宋_GB2312" w:cs="仿宋_GB2312"/>
          <w:sz w:val="32"/>
          <w:szCs w:val="32"/>
          <w:highlight w:val="none"/>
          <w:lang w:val="en-US" w:eastAsia="zh-CN"/>
        </w:rPr>
        <w:t>（一）</w:t>
      </w:r>
      <w:r>
        <w:rPr>
          <w:rFonts w:hint="eastAsia" w:ascii="仿宋_GB2312" w:hAnsi="宋体" w:eastAsia="仿宋_GB2312" w:cs="宋体"/>
          <w:color w:val="000000"/>
          <w:kern w:val="0"/>
          <w:sz w:val="32"/>
          <w:szCs w:val="32"/>
        </w:rPr>
        <w:t>财政预算内拨款：是指以国家财政为中心的预算资金、国债资金及其他财政性资金，既包括中央政府和地方政府的财政收支，还包括与国家财政有关系的企业、事业和行政单位的货币收支。根据有关法律、法规的规定，财政资金应当专款专用，任何人不得违规挪用、拆借。</w:t>
      </w:r>
    </w:p>
    <w:p>
      <w:pPr>
        <w:widowControl/>
        <w:spacing w:before="100" w:beforeAutospacing="1" w:after="100" w:afterAutospacing="1" w:line="420" w:lineRule="atLeast"/>
        <w:ind w:firstLine="480"/>
        <w:jc w:val="left"/>
        <w:rPr>
          <w:rFonts w:hint="eastAsia" w:ascii="仿宋_GB2312" w:hAnsi="宋体" w:eastAsia="仿宋_GB2312" w:cs="宋体"/>
          <w:color w:val="000000"/>
          <w:kern w:val="0"/>
          <w:sz w:val="32"/>
          <w:szCs w:val="32"/>
        </w:rPr>
      </w:pPr>
      <w:r>
        <w:rPr>
          <w:rFonts w:hint="eastAsia" w:ascii="仿宋_GB2312" w:hAnsi="仿宋_GB2312" w:eastAsia="仿宋_GB2312" w:cs="仿宋_GB2312"/>
          <w:sz w:val="32"/>
          <w:szCs w:val="32"/>
          <w:highlight w:val="none"/>
          <w:lang w:val="en-US" w:eastAsia="zh-CN"/>
        </w:rPr>
        <w:t>（二）</w:t>
      </w:r>
      <w:r>
        <w:rPr>
          <w:rFonts w:hint="eastAsia" w:ascii="仿宋_GB2312" w:hAnsi="宋体" w:eastAsia="仿宋_GB2312" w:cs="宋体"/>
          <w:color w:val="000000"/>
          <w:kern w:val="0"/>
          <w:sz w:val="32"/>
          <w:szCs w:val="32"/>
        </w:rPr>
        <w:t>财政专户拨款：是指预算单位根据“收支两条线”规定，将本单位预算年度内收取的各项行政事业性收费收入按规定上缴至财政国库专户后，再根据单位年度预算计划使用。</w:t>
      </w:r>
    </w:p>
    <w:p>
      <w:pPr>
        <w:widowControl/>
        <w:spacing w:before="100" w:beforeAutospacing="1" w:after="100" w:afterAutospacing="1" w:line="420" w:lineRule="atLeast"/>
        <w:ind w:firstLine="480"/>
        <w:jc w:val="left"/>
        <w:rPr>
          <w:rFonts w:hint="eastAsia" w:ascii="仿宋_GB2312" w:hAnsi="宋体" w:eastAsia="仿宋_GB2312" w:cs="宋体"/>
          <w:color w:val="000000"/>
          <w:kern w:val="0"/>
          <w:sz w:val="32"/>
          <w:szCs w:val="32"/>
        </w:rPr>
      </w:pPr>
      <w:r>
        <w:rPr>
          <w:rFonts w:hint="eastAsia" w:ascii="仿宋_GB2312" w:hAnsi="仿宋_GB2312" w:eastAsia="仿宋_GB2312" w:cs="仿宋_GB2312"/>
          <w:sz w:val="32"/>
          <w:szCs w:val="32"/>
          <w:highlight w:val="none"/>
          <w:lang w:val="en-US" w:eastAsia="zh-CN"/>
        </w:rPr>
        <w:t>（三）</w:t>
      </w:r>
      <w:r>
        <w:rPr>
          <w:rFonts w:hint="eastAsia" w:ascii="仿宋_GB2312" w:hAnsi="宋体" w:eastAsia="仿宋_GB2312" w:cs="宋体"/>
          <w:color w:val="000000"/>
          <w:kern w:val="0"/>
          <w:sz w:val="32"/>
          <w:szCs w:val="32"/>
        </w:rPr>
        <w:t>基本支出：是部门预算单位为维持机构正常运转和完成日常工作任务需要确定的支出，包括人员支出、日常公用支出和对个人和家庭补助支出，实行定员定额管理。预算执行时，市财政局根据编委人事部门核定的各单位在编实有人数按进度核拨。</w:t>
      </w:r>
    </w:p>
    <w:p>
      <w:pPr>
        <w:widowControl/>
        <w:spacing w:before="100" w:beforeAutospacing="1" w:after="100" w:afterAutospacing="1" w:line="420" w:lineRule="atLeast"/>
        <w:ind w:firstLine="480"/>
        <w:jc w:val="left"/>
        <w:rPr>
          <w:rFonts w:hint="eastAsia" w:ascii="仿宋_GB2312" w:hAnsi="宋体" w:eastAsia="仿宋_GB2312" w:cs="宋体"/>
          <w:color w:val="000000"/>
          <w:kern w:val="0"/>
          <w:sz w:val="32"/>
          <w:szCs w:val="32"/>
        </w:rPr>
      </w:pPr>
      <w:r>
        <w:rPr>
          <w:rFonts w:hint="eastAsia" w:ascii="仿宋_GB2312" w:hAnsi="仿宋_GB2312" w:eastAsia="仿宋_GB2312" w:cs="仿宋_GB2312"/>
          <w:sz w:val="32"/>
          <w:szCs w:val="32"/>
          <w:highlight w:val="none"/>
          <w:lang w:val="en-US" w:eastAsia="zh-CN"/>
        </w:rPr>
        <w:t>（四）</w:t>
      </w:r>
      <w:r>
        <w:rPr>
          <w:rFonts w:hint="eastAsia" w:ascii="仿宋_GB2312" w:hAnsi="宋体" w:eastAsia="仿宋_GB2312" w:cs="宋体"/>
          <w:color w:val="000000"/>
          <w:kern w:val="0"/>
          <w:sz w:val="32"/>
          <w:szCs w:val="32"/>
        </w:rPr>
        <w:t>项目支出：是部门预算单位为完成特定工作任务和事业发展目标而发生的支出，须保证专款专用。预算执行时，项目支出由预算单位部门预算以及项目进度情况编制用款计划报市财政局，市财政局结合国库和财政专户库款情况审批通过后办理资金支付。</w:t>
      </w:r>
    </w:p>
    <w:p>
      <w:pPr>
        <w:widowControl/>
        <w:spacing w:before="100" w:beforeAutospacing="1" w:after="100" w:afterAutospacing="1" w:line="420" w:lineRule="atLeast"/>
        <w:ind w:firstLine="480"/>
        <w:jc w:val="left"/>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（五）</w:t>
      </w:r>
      <w:r>
        <w:rPr>
          <w:rFonts w:hint="eastAsia" w:ascii="仿宋_GB2312" w:hAnsi="宋体" w:eastAsia="仿宋_GB2312" w:cs="宋体"/>
          <w:color w:val="000000"/>
          <w:kern w:val="0"/>
          <w:sz w:val="32"/>
          <w:szCs w:val="32"/>
        </w:rPr>
        <w:t>机关运行经费：是指各部门的公用经费，包括办公及印刷费、邮电费、差旅费、会议费、福利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公文小标宋简">
    <w:altName w:val="宋体"/>
    <w:panose1 w:val="02010609010101010101"/>
    <w:charset w:val="00"/>
    <w:family w:val="auto"/>
    <w:pitch w:val="default"/>
    <w:sig w:usb0="00000000" w:usb1="00000000" w:usb2="00000000" w:usb3="00000000" w:csb0="00000000" w:csb1="00000000"/>
  </w:font>
  <w:font w:name="Arial Unicode MS">
    <w:altName w:val="宋体"/>
    <w:panose1 w:val="020B0604020202020204"/>
    <w:charset w:val="86"/>
    <w:family w:val="auto"/>
    <w:pitch w:val="default"/>
    <w:sig w:usb0="00000000" w:usb1="00000000"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494B51"/>
    <w:multiLevelType w:val="singleLevel"/>
    <w:tmpl w:val="D9494B51"/>
    <w:lvl w:ilvl="0" w:tentative="0">
      <w:start w:val="1"/>
      <w:numFmt w:val="chineseCounting"/>
      <w:suff w:val="nothing"/>
      <w:lvlText w:val="（%1）"/>
      <w:lvlJc w:val="left"/>
      <w:pPr>
        <w:ind w:left="640" w:leftChars="0" w:firstLine="0" w:firstLineChars="0"/>
      </w:pPr>
      <w:rPr>
        <w:rFonts w:hint="eastAsia"/>
      </w:rPr>
    </w:lvl>
  </w:abstractNum>
  <w:abstractNum w:abstractNumId="1">
    <w:nsid w:val="5A5F2250"/>
    <w:multiLevelType w:val="singleLevel"/>
    <w:tmpl w:val="5A5F2250"/>
    <w:lvl w:ilvl="0" w:tentative="0">
      <w:start w:val="1"/>
      <w:numFmt w:val="chineseCounting"/>
      <w:suff w:val="nothing"/>
      <w:lvlText w:val="%1、"/>
      <w:lvlJc w:val="left"/>
    </w:lvl>
  </w:abstractNum>
  <w:abstractNum w:abstractNumId="2">
    <w:nsid w:val="5A5F2384"/>
    <w:multiLevelType w:val="singleLevel"/>
    <w:tmpl w:val="5A5F2384"/>
    <w:lvl w:ilvl="0" w:tentative="0">
      <w:start w:val="1"/>
      <w:numFmt w:val="chineseCounting"/>
      <w:suff w:val="nothing"/>
      <w:lvlText w:val="%1、"/>
      <w:lvlJc w:val="left"/>
    </w:lvl>
  </w:abstractNum>
  <w:abstractNum w:abstractNumId="3">
    <w:nsid w:val="5A5F2A51"/>
    <w:multiLevelType w:val="singleLevel"/>
    <w:tmpl w:val="5A5F2A51"/>
    <w:lvl w:ilvl="0" w:tentative="0">
      <w:start w:val="1"/>
      <w:numFmt w:val="chineseCounting"/>
      <w:suff w:val="nothing"/>
      <w:lvlText w:val="%1、"/>
      <w:lvlJc w:val="left"/>
    </w:lvl>
  </w:abstractNum>
  <w:abstractNum w:abstractNumId="4">
    <w:nsid w:val="5A5F2BFF"/>
    <w:multiLevelType w:val="singleLevel"/>
    <w:tmpl w:val="5A5F2BFF"/>
    <w:lvl w:ilvl="0" w:tentative="0">
      <w:start w:val="1"/>
      <w:numFmt w:val="chineseCounting"/>
      <w:suff w:val="nothing"/>
      <w:lvlText w:val="（%1）"/>
      <w:lvlJc w:val="left"/>
    </w:lvl>
  </w:abstractNum>
  <w:abstractNum w:abstractNumId="5">
    <w:nsid w:val="5A600927"/>
    <w:multiLevelType w:val="singleLevel"/>
    <w:tmpl w:val="5A600927"/>
    <w:lvl w:ilvl="0" w:tentative="0">
      <w:start w:val="1"/>
      <w:numFmt w:val="chineseCounting"/>
      <w:suff w:val="nothing"/>
      <w:lvlText w:val="%1、"/>
      <w:lvlJc w:val="left"/>
    </w:lvl>
  </w:abstractNum>
  <w:num w:numId="1">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form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E14EA"/>
    <w:rsid w:val="026331A8"/>
    <w:rsid w:val="03EB2F53"/>
    <w:rsid w:val="13016A31"/>
    <w:rsid w:val="14D23ADE"/>
    <w:rsid w:val="1930782B"/>
    <w:rsid w:val="19632983"/>
    <w:rsid w:val="1D366E40"/>
    <w:rsid w:val="20EE6A13"/>
    <w:rsid w:val="224D010D"/>
    <w:rsid w:val="24F6586C"/>
    <w:rsid w:val="31715163"/>
    <w:rsid w:val="363C061D"/>
    <w:rsid w:val="36E602DD"/>
    <w:rsid w:val="3ACC153B"/>
    <w:rsid w:val="3CB03847"/>
    <w:rsid w:val="42513917"/>
    <w:rsid w:val="44FD58B7"/>
    <w:rsid w:val="4E9B6A15"/>
    <w:rsid w:val="4F6323AE"/>
    <w:rsid w:val="4F6D7DE5"/>
    <w:rsid w:val="50534D8A"/>
    <w:rsid w:val="50CB6A87"/>
    <w:rsid w:val="519513FB"/>
    <w:rsid w:val="54964670"/>
    <w:rsid w:val="59D23C4B"/>
    <w:rsid w:val="5BC337B0"/>
    <w:rsid w:val="5E4C0612"/>
    <w:rsid w:val="5F2458B6"/>
    <w:rsid w:val="60E37A9B"/>
    <w:rsid w:val="66D06120"/>
    <w:rsid w:val="68AA4697"/>
    <w:rsid w:val="68F04A98"/>
    <w:rsid w:val="6D9B07DA"/>
    <w:rsid w:val="6EF159F2"/>
    <w:rsid w:val="6F151B3A"/>
    <w:rsid w:val="708E1F7E"/>
    <w:rsid w:val="75910F28"/>
    <w:rsid w:val="7A3D118F"/>
    <w:rsid w:val="7E7C3D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7">
    <w:name w:val="page number"/>
    <w:basedOn w:val="6"/>
    <w:qFormat/>
    <w:uiPriority w:val="0"/>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huangzj</dc:creator>
  <cp:lastModifiedBy>陈健依</cp:lastModifiedBy>
  <cp:lastPrinted>2018-04-08T01:24:28Z</cp:lastPrinted>
  <dcterms:modified xsi:type="dcterms:W3CDTF">2018-04-08T02:23:47Z</dcterms:modified>
  <dc:title>××年</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